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ПОРЯДОК ДЕННИЙ</w:t>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засідання Комітету Верховної Ради України</w:t>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 питань фінансів, податкової та митної політики</w:t>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режимі відеоконференції)</w:t>
      </w:r>
    </w:p>
    <w:p w:rsidR="00000000" w:rsidDel="00000000" w:rsidP="00000000" w:rsidRDefault="00000000" w:rsidRPr="00000000" w14:paraId="00000005">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14 жовтня 2022 року </w:t>
      </w:r>
    </w:p>
    <w:p w:rsidR="00000000" w:rsidDel="00000000" w:rsidP="00000000" w:rsidRDefault="00000000" w:rsidRPr="00000000" w14:paraId="00000007">
      <w:pPr>
        <w:spacing w:after="0" w:line="240" w:lineRule="auto"/>
        <w:jc w:val="right"/>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000000"/>
          <w:sz w:val="28"/>
          <w:szCs w:val="28"/>
          <w:rtl w:val="0"/>
        </w:rPr>
        <w:t xml:space="preserve">11.00 год.</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Проект Закону про внесення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щодо захисту фінансової системи України від дій держави, яка здійснює збройну агресію проти України, та адаптації законодавства до окремих стандартів FATF і вимог Директиви ЄС 2018/843 (</w:t>
      </w:r>
      <w:r w:rsidDel="00000000" w:rsidR="00000000" w:rsidRPr="00000000">
        <w:rPr>
          <w:rFonts w:ascii="Times New Roman" w:cs="Times New Roman" w:eastAsia="Times New Roman" w:hAnsi="Times New Roman"/>
          <w:b w:val="1"/>
          <w:color w:val="000000"/>
          <w:sz w:val="28"/>
          <w:szCs w:val="28"/>
          <w:rtl w:val="0"/>
        </w:rPr>
        <w:t xml:space="preserve">реєстр. № 8008</w:t>
      </w:r>
      <w:r w:rsidDel="00000000" w:rsidR="00000000" w:rsidRPr="00000000">
        <w:rPr>
          <w:rFonts w:ascii="Times New Roman" w:cs="Times New Roman" w:eastAsia="Times New Roman" w:hAnsi="Times New Roman"/>
          <w:color w:val="000000"/>
          <w:sz w:val="28"/>
          <w:szCs w:val="28"/>
          <w:rtl w:val="0"/>
        </w:rPr>
        <w:t xml:space="preserve"> від 07.09.2022, Кабінет Міністрів України), євроінтеграційний.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Доповідач:</w:t>
      </w:r>
      <w:r w:rsidDel="00000000" w:rsidR="00000000" w:rsidRPr="00000000">
        <w:rPr>
          <w:rFonts w:ascii="Times New Roman" w:cs="Times New Roman" w:eastAsia="Times New Roman" w:hAnsi="Times New Roman"/>
          <w:color w:val="000000"/>
          <w:sz w:val="28"/>
          <w:szCs w:val="28"/>
          <w:rtl w:val="0"/>
        </w:rPr>
        <w:t xml:space="preserve"> Міністр фінансів Сергій Марченко</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Співдоповідач: </w:t>
      </w:r>
      <w:r w:rsidDel="00000000" w:rsidR="00000000" w:rsidRPr="00000000">
        <w:rPr>
          <w:rFonts w:ascii="Times New Roman" w:cs="Times New Roman" w:eastAsia="Times New Roman" w:hAnsi="Times New Roman"/>
          <w:color w:val="000000"/>
          <w:sz w:val="28"/>
          <w:szCs w:val="28"/>
          <w:rtl w:val="0"/>
        </w:rPr>
        <w:t xml:space="preserve">голова підкомітету Василевська-Смаглюк О.М.</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Проект Закону про Митний тариф України (</w:t>
      </w:r>
      <w:r w:rsidDel="00000000" w:rsidR="00000000" w:rsidRPr="00000000">
        <w:rPr>
          <w:rFonts w:ascii="Times New Roman" w:cs="Times New Roman" w:eastAsia="Times New Roman" w:hAnsi="Times New Roman"/>
          <w:b w:val="1"/>
          <w:color w:val="000000"/>
          <w:sz w:val="28"/>
          <w:szCs w:val="28"/>
          <w:rtl w:val="0"/>
        </w:rPr>
        <w:t xml:space="preserve">реєстр. № 7737</w:t>
      </w:r>
      <w:r w:rsidDel="00000000" w:rsidR="00000000" w:rsidRPr="00000000">
        <w:rPr>
          <w:rFonts w:ascii="Times New Roman" w:cs="Times New Roman" w:eastAsia="Times New Roman" w:hAnsi="Times New Roman"/>
          <w:color w:val="000000"/>
          <w:sz w:val="28"/>
          <w:szCs w:val="28"/>
          <w:rtl w:val="0"/>
        </w:rPr>
        <w:t xml:space="preserve"> від 05.09.2022, Кабінет Міністрів України), євроінтеграційний, друге читання.</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Доповідач:</w:t>
      </w:r>
      <w:r w:rsidDel="00000000" w:rsidR="00000000" w:rsidRPr="00000000">
        <w:rPr>
          <w:rFonts w:ascii="Times New Roman" w:cs="Times New Roman" w:eastAsia="Times New Roman" w:hAnsi="Times New Roman"/>
          <w:color w:val="000000"/>
          <w:sz w:val="28"/>
          <w:szCs w:val="28"/>
          <w:rtl w:val="0"/>
        </w:rPr>
        <w:t xml:space="preserve"> голова підкомітету Сова О.Г.</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Проект Закону про внесення змін до Митного кодексу України щодо врегулювання питання притягнення до адміністративної відповідальності за дії, спрямовані на неправомірне звільнення від сплати митних платежів чи зменшення їх розміру, а також інші протиправні дії, спрямовані на ухилення від сплати митних платежів (</w:t>
      </w:r>
      <w:r w:rsidDel="00000000" w:rsidR="00000000" w:rsidRPr="00000000">
        <w:rPr>
          <w:rFonts w:ascii="Times New Roman" w:cs="Times New Roman" w:eastAsia="Times New Roman" w:hAnsi="Times New Roman"/>
          <w:b w:val="1"/>
          <w:color w:val="000000"/>
          <w:sz w:val="28"/>
          <w:szCs w:val="28"/>
          <w:rtl w:val="0"/>
        </w:rPr>
        <w:t xml:space="preserve">реєстр. № 8062</w:t>
      </w:r>
      <w:r w:rsidDel="00000000" w:rsidR="00000000" w:rsidRPr="00000000">
        <w:rPr>
          <w:rFonts w:ascii="Times New Roman" w:cs="Times New Roman" w:eastAsia="Times New Roman" w:hAnsi="Times New Roman"/>
          <w:color w:val="000000"/>
          <w:sz w:val="28"/>
          <w:szCs w:val="28"/>
          <w:rtl w:val="0"/>
        </w:rPr>
        <w:t xml:space="preserve"> від 20.09.2022, н.д. Сова О.Г. та ін.).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Доповідач:</w:t>
      </w:r>
      <w:r w:rsidDel="00000000" w:rsidR="00000000" w:rsidRPr="00000000">
        <w:rPr>
          <w:rFonts w:ascii="Times New Roman" w:cs="Times New Roman" w:eastAsia="Times New Roman" w:hAnsi="Times New Roman"/>
          <w:color w:val="000000"/>
          <w:sz w:val="28"/>
          <w:szCs w:val="28"/>
          <w:rtl w:val="0"/>
        </w:rPr>
        <w:t xml:space="preserve"> голова підкомітету Сова О.Г.</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Проект Закону про внесення змін до підрозділу 8 розділу ХХ Податкового кодексу України щодо заборони перебування грального бізнесу на спрощеній системі оподаткування (</w:t>
      </w:r>
      <w:r w:rsidDel="00000000" w:rsidR="00000000" w:rsidRPr="00000000">
        <w:rPr>
          <w:rFonts w:ascii="Times New Roman" w:cs="Times New Roman" w:eastAsia="Times New Roman" w:hAnsi="Times New Roman"/>
          <w:b w:val="1"/>
          <w:color w:val="000000"/>
          <w:sz w:val="28"/>
          <w:szCs w:val="28"/>
          <w:rtl w:val="0"/>
        </w:rPr>
        <w:t xml:space="preserve">реєстр. № 8079</w:t>
      </w:r>
      <w:r w:rsidDel="00000000" w:rsidR="00000000" w:rsidRPr="00000000">
        <w:rPr>
          <w:rFonts w:ascii="Times New Roman" w:cs="Times New Roman" w:eastAsia="Times New Roman" w:hAnsi="Times New Roman"/>
          <w:color w:val="000000"/>
          <w:sz w:val="28"/>
          <w:szCs w:val="28"/>
          <w:rtl w:val="0"/>
        </w:rPr>
        <w:t xml:space="preserve"> від 27.09.2022, н.д. Железняк Я.І. та ін.).</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firstLine="709"/>
        <w:jc w:val="right"/>
        <w:rPr>
          <w:rFonts w:ascii="Times New Roman" w:cs="Times New Roman" w:eastAsia="Times New Roman" w:hAnsi="Times New Roman"/>
          <w:color w:val="000000"/>
          <w:sz w:val="28"/>
          <w:szCs w:val="28"/>
        </w:rPr>
      </w:pPr>
      <w:bookmarkStart w:colFirst="0" w:colLast="0" w:name="_1fob9te" w:id="2"/>
      <w:bookmarkEnd w:id="2"/>
      <w:r w:rsidDel="00000000" w:rsidR="00000000" w:rsidRPr="00000000">
        <w:rPr>
          <w:rFonts w:ascii="Times New Roman" w:cs="Times New Roman" w:eastAsia="Times New Roman" w:hAnsi="Times New Roman"/>
          <w:b w:val="1"/>
          <w:color w:val="000000"/>
          <w:sz w:val="28"/>
          <w:szCs w:val="28"/>
          <w:rtl w:val="0"/>
        </w:rPr>
        <w:t xml:space="preserve">Доповідач:</w:t>
      </w:r>
      <w:r w:rsidDel="00000000" w:rsidR="00000000" w:rsidRPr="00000000">
        <w:rPr>
          <w:rFonts w:ascii="Times New Roman" w:cs="Times New Roman" w:eastAsia="Times New Roman" w:hAnsi="Times New Roman"/>
          <w:color w:val="000000"/>
          <w:sz w:val="28"/>
          <w:szCs w:val="28"/>
          <w:rtl w:val="0"/>
        </w:rPr>
        <w:t xml:space="preserve"> перший заступник Голови Комітету Железняк Я.І.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firstLine="709"/>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sectPr>
      <w:pgSz w:h="16838" w:w="11906" w:orient="portrait"/>
      <w:pgMar w:bottom="850" w:top="567"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color w:val="2e74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