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A5" w:rsidRPr="0088234B" w:rsidRDefault="006643A5" w:rsidP="0066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ДЕННИЙ</w:t>
      </w:r>
    </w:p>
    <w:p w:rsidR="006643A5" w:rsidRPr="0088234B" w:rsidRDefault="006643A5" w:rsidP="0066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34B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 Комітету Верховної Ради України</w:t>
      </w:r>
    </w:p>
    <w:p w:rsidR="006643A5" w:rsidRPr="0088234B" w:rsidRDefault="006643A5" w:rsidP="0066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34B">
        <w:rPr>
          <w:rFonts w:ascii="Times New Roman" w:eastAsia="Times New Roman" w:hAnsi="Times New Roman" w:cs="Times New Roman"/>
          <w:color w:val="000000"/>
          <w:sz w:val="28"/>
          <w:szCs w:val="28"/>
        </w:rPr>
        <w:t>з питань фінансів, податкової та митної політики</w:t>
      </w:r>
    </w:p>
    <w:p w:rsidR="006643A5" w:rsidRDefault="006643A5" w:rsidP="0066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режимі </w:t>
      </w:r>
      <w:proofErr w:type="spellStart"/>
      <w:r w:rsidRPr="0088234B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відеоконференції</w:t>
      </w:r>
      <w:proofErr w:type="spellEnd"/>
      <w:r w:rsidRPr="008823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076A4" w:rsidRPr="0088234B" w:rsidRDefault="007076A4" w:rsidP="0066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3A5" w:rsidRPr="0088234B" w:rsidRDefault="004D2802" w:rsidP="0066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6643A5" w:rsidRPr="00882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81FE7" w:rsidRPr="00882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черв</w:t>
      </w:r>
      <w:r w:rsidR="006643A5" w:rsidRPr="00882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ня 2022 року </w:t>
      </w:r>
    </w:p>
    <w:p w:rsidR="006643A5" w:rsidRPr="0088234B" w:rsidRDefault="006643A5" w:rsidP="0066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D2802" w:rsidRPr="00882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882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 год.</w:t>
      </w:r>
    </w:p>
    <w:p w:rsidR="006156A1" w:rsidRPr="00B1129C" w:rsidRDefault="006156A1" w:rsidP="0066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5311B" w:rsidRDefault="00E57BC9" w:rsidP="00B53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29C">
        <w:rPr>
          <w:b/>
          <w:sz w:val="26"/>
          <w:szCs w:val="26"/>
        </w:rPr>
        <w:t>1.</w:t>
      </w:r>
      <w:r w:rsidR="004D2802">
        <w:rPr>
          <w:sz w:val="26"/>
          <w:szCs w:val="26"/>
        </w:rPr>
        <w:t xml:space="preserve"> </w:t>
      </w:r>
      <w:r w:rsidR="00B531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Перегляд рішення Комітету від 16.06.2022р</w:t>
      </w:r>
      <w:r w:rsidR="00B5311B">
        <w:rPr>
          <w:rFonts w:ascii="Times New Roman" w:eastAsia="Times New Roman" w:hAnsi="Times New Roman" w:cs="Times New Roman"/>
          <w:color w:val="000000"/>
          <w:sz w:val="28"/>
          <w:szCs w:val="28"/>
        </w:rPr>
        <w:t>. щодо проекту Закону «Про внесення змін до розділу ХХ "Перехідні положення" Податкового кодексу України щодо забезпечення стабільного функціонування ринку природного газу протягом дії воєнного стану та подальшого відновлення» (</w:t>
      </w:r>
      <w:r w:rsidR="00B531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реєстр. № 7428</w:t>
      </w:r>
      <w:r w:rsidR="00B5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01.06.2022, Кабінет Міністрів України), у зв’язку з реєстрацією проектів Закону про внесення змін до розділу ХХ "Перехідні положення" Податкового кодексу України щодо врегулювання відносин та забезпечення стабільності на ринку природного газу (</w:t>
      </w:r>
      <w:r w:rsidR="00B531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реєстр. №7428-1</w:t>
      </w:r>
      <w:r w:rsidR="00B5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16.06.2022, </w:t>
      </w:r>
      <w:proofErr w:type="spellStart"/>
      <w:r w:rsidR="00B5311B">
        <w:rPr>
          <w:rFonts w:ascii="Times New Roman" w:eastAsia="Times New Roman" w:hAnsi="Times New Roman" w:cs="Times New Roman"/>
          <w:color w:val="000000"/>
          <w:sz w:val="28"/>
          <w:szCs w:val="28"/>
        </w:rPr>
        <w:t>н.д</w:t>
      </w:r>
      <w:proofErr w:type="spellEnd"/>
      <w:r w:rsidR="00B5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Тимошенко Ю.В. та </w:t>
      </w:r>
      <w:proofErr w:type="spellStart"/>
      <w:r w:rsidR="00B5311B">
        <w:rPr>
          <w:rFonts w:ascii="Times New Roman" w:eastAsia="Times New Roman" w:hAnsi="Times New Roman" w:cs="Times New Roman"/>
          <w:color w:val="000000"/>
          <w:sz w:val="28"/>
          <w:szCs w:val="28"/>
        </w:rPr>
        <w:t>інш</w:t>
      </w:r>
      <w:proofErr w:type="spellEnd"/>
      <w:r w:rsidR="00B5311B">
        <w:rPr>
          <w:rFonts w:ascii="Times New Roman" w:eastAsia="Times New Roman" w:hAnsi="Times New Roman" w:cs="Times New Roman"/>
          <w:color w:val="000000"/>
          <w:sz w:val="28"/>
          <w:szCs w:val="28"/>
        </w:rPr>
        <w:t>.) та проекту Закону «Про внесення змін до розділу ХХ "Перехідні положення" Податкового кодексу України щодо забезпечення стабільного функціонування ринку природного газу протягом дії воєнного стану та подальшого відновлення» (</w:t>
      </w:r>
      <w:r w:rsidR="00B531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реєстр. № 7428-2</w:t>
      </w:r>
      <w:r w:rsidR="00B5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17.06.2022, </w:t>
      </w:r>
      <w:proofErr w:type="spellStart"/>
      <w:r w:rsidR="00B5311B">
        <w:rPr>
          <w:rFonts w:ascii="Times New Roman" w:eastAsia="Times New Roman" w:hAnsi="Times New Roman" w:cs="Times New Roman"/>
          <w:color w:val="000000"/>
          <w:sz w:val="28"/>
          <w:szCs w:val="28"/>
        </w:rPr>
        <w:t>н.д</w:t>
      </w:r>
      <w:proofErr w:type="spellEnd"/>
      <w:r w:rsidR="00B5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5311B">
        <w:rPr>
          <w:rFonts w:ascii="Times New Roman" w:eastAsia="Times New Roman" w:hAnsi="Times New Roman" w:cs="Times New Roman"/>
          <w:color w:val="000000"/>
          <w:sz w:val="28"/>
          <w:szCs w:val="28"/>
        </w:rPr>
        <w:t>Гетманцев</w:t>
      </w:r>
      <w:proofErr w:type="spellEnd"/>
      <w:r w:rsidR="00B5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Д.О. та </w:t>
      </w:r>
      <w:proofErr w:type="spellStart"/>
      <w:r w:rsidR="00B5311B">
        <w:rPr>
          <w:rFonts w:ascii="Times New Roman" w:eastAsia="Times New Roman" w:hAnsi="Times New Roman" w:cs="Times New Roman"/>
          <w:color w:val="000000"/>
          <w:sz w:val="28"/>
          <w:szCs w:val="28"/>
        </w:rPr>
        <w:t>інш</w:t>
      </w:r>
      <w:proofErr w:type="spellEnd"/>
      <w:r w:rsidR="00B5311B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6156A1" w:rsidRPr="00B1129C" w:rsidRDefault="006156A1" w:rsidP="004D2802">
      <w:pPr>
        <w:pStyle w:val="a5"/>
        <w:ind w:firstLine="567"/>
        <w:jc w:val="both"/>
        <w:rPr>
          <w:rFonts w:ascii="Times New Roman" w:eastAsiaTheme="minorHAnsi" w:hAnsi="Times New Roman" w:cs="Times New Roman"/>
          <w:b/>
          <w:sz w:val="26"/>
          <w:szCs w:val="26"/>
          <w:shd w:val="clear" w:color="auto" w:fill="FFFFFF"/>
        </w:rPr>
      </w:pPr>
      <w:bookmarkStart w:id="0" w:name="_GoBack"/>
      <w:bookmarkEnd w:id="0"/>
    </w:p>
    <w:p w:rsidR="003A42D1" w:rsidRPr="0088234B" w:rsidRDefault="003A42D1" w:rsidP="00310C0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88234B">
        <w:rPr>
          <w:rFonts w:ascii="Times New Roman" w:hAnsi="Times New Roman" w:cs="Times New Roman"/>
          <w:sz w:val="28"/>
          <w:szCs w:val="28"/>
        </w:rPr>
        <w:t xml:space="preserve">: Голова Комітету </w:t>
      </w:r>
      <w:proofErr w:type="spellStart"/>
      <w:r w:rsidRPr="0088234B">
        <w:rPr>
          <w:rFonts w:ascii="Times New Roman" w:hAnsi="Times New Roman" w:cs="Times New Roman"/>
          <w:sz w:val="28"/>
          <w:szCs w:val="28"/>
        </w:rPr>
        <w:t>Гетманцев</w:t>
      </w:r>
      <w:proofErr w:type="spellEnd"/>
      <w:r w:rsidRPr="0088234B">
        <w:rPr>
          <w:rFonts w:ascii="Times New Roman" w:hAnsi="Times New Roman" w:cs="Times New Roman"/>
          <w:sz w:val="28"/>
          <w:szCs w:val="28"/>
        </w:rPr>
        <w:t xml:space="preserve"> Данило Олександрович </w:t>
      </w:r>
    </w:p>
    <w:p w:rsidR="00D0276A" w:rsidRPr="00B1129C" w:rsidRDefault="00D0276A" w:rsidP="00310C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63DDE" w:rsidRPr="0088234B" w:rsidRDefault="0088234B" w:rsidP="008823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88234B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2</w:t>
      </w:r>
      <w:r w:rsidR="00C63DDE" w:rsidRPr="0088234B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.</w:t>
      </w:r>
      <w:r w:rsidR="00C63DDE" w:rsidRPr="0088234B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Pr="0088234B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Проект Закону про внесення змін до Митного кодексу України щодо деяких питань виконання Глави 5 Розділу ІV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(</w:t>
      </w:r>
      <w:r w:rsidRPr="0088234B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реєстр</w:t>
      </w:r>
      <w:r w:rsidRPr="0088234B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. № </w:t>
      </w:r>
      <w:r w:rsidRPr="0088234B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7420</w:t>
      </w:r>
      <w:r w:rsidRPr="0088234B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від 31.05.2022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, </w:t>
      </w:r>
      <w:r w:rsidRPr="0088234B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Кабінет Міністрів України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)</w:t>
      </w:r>
    </w:p>
    <w:p w:rsidR="00D0276A" w:rsidRPr="00B1129C" w:rsidRDefault="00D0276A" w:rsidP="00C63DDE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6"/>
          <w:szCs w:val="26"/>
          <w:shd w:val="clear" w:color="auto" w:fill="FFFFFF"/>
        </w:rPr>
      </w:pPr>
    </w:p>
    <w:p w:rsidR="0088234B" w:rsidRPr="00FA20A4" w:rsidRDefault="00C63DDE" w:rsidP="0088234B">
      <w:pPr>
        <w:pStyle w:val="a4"/>
        <w:jc w:val="right"/>
        <w:rPr>
          <w:rStyle w:val="FontStyle41"/>
          <w:sz w:val="28"/>
          <w:szCs w:val="28"/>
        </w:rPr>
      </w:pPr>
      <w:r w:rsidRPr="003A42D1">
        <w:rPr>
          <w:rFonts w:ascii="Times New Roman" w:hAnsi="Times New Roman"/>
          <w:b/>
          <w:color w:val="000000"/>
          <w:szCs w:val="26"/>
        </w:rPr>
        <w:t>Доповідач</w:t>
      </w:r>
      <w:r w:rsidRPr="003A42D1">
        <w:rPr>
          <w:rFonts w:ascii="Times New Roman" w:hAnsi="Times New Roman"/>
          <w:color w:val="000000"/>
          <w:szCs w:val="26"/>
        </w:rPr>
        <w:t>:</w:t>
      </w:r>
      <w:r w:rsidR="00265FFB" w:rsidRPr="00B1129C">
        <w:rPr>
          <w:rFonts w:ascii="Times New Roman" w:hAnsi="Times New Roman"/>
          <w:color w:val="000000"/>
          <w:szCs w:val="26"/>
        </w:rPr>
        <w:t xml:space="preserve"> </w:t>
      </w:r>
      <w:r w:rsidR="0088234B" w:rsidRPr="00FA20A4">
        <w:rPr>
          <w:rStyle w:val="FontStyle41"/>
          <w:sz w:val="28"/>
          <w:szCs w:val="28"/>
        </w:rPr>
        <w:t>Міністр фінансів Марчен</w:t>
      </w:r>
      <w:r w:rsidR="0088234B">
        <w:rPr>
          <w:rStyle w:val="FontStyle41"/>
          <w:sz w:val="28"/>
          <w:szCs w:val="28"/>
        </w:rPr>
        <w:t>ко Сергій Михайлович</w:t>
      </w:r>
    </w:p>
    <w:p w:rsidR="00D0276A" w:rsidRPr="00B1129C" w:rsidRDefault="00D0276A" w:rsidP="00C63DDE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6"/>
          <w:szCs w:val="26"/>
          <w:shd w:val="clear" w:color="auto" w:fill="FFFFFF"/>
        </w:rPr>
      </w:pPr>
    </w:p>
    <w:sectPr w:rsidR="00D0276A" w:rsidRPr="00B112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A5"/>
    <w:rsid w:val="00006648"/>
    <w:rsid w:val="00052A0F"/>
    <w:rsid w:val="000C28A0"/>
    <w:rsid w:val="000F4881"/>
    <w:rsid w:val="00256225"/>
    <w:rsid w:val="00265FFB"/>
    <w:rsid w:val="00281FE7"/>
    <w:rsid w:val="00291864"/>
    <w:rsid w:val="002B294D"/>
    <w:rsid w:val="00310C04"/>
    <w:rsid w:val="00315195"/>
    <w:rsid w:val="00352585"/>
    <w:rsid w:val="00381EAA"/>
    <w:rsid w:val="003A42D1"/>
    <w:rsid w:val="003C6178"/>
    <w:rsid w:val="003F024B"/>
    <w:rsid w:val="004C67DA"/>
    <w:rsid w:val="004D2802"/>
    <w:rsid w:val="005204CF"/>
    <w:rsid w:val="005652D3"/>
    <w:rsid w:val="006156A1"/>
    <w:rsid w:val="00635F64"/>
    <w:rsid w:val="00646DCC"/>
    <w:rsid w:val="006643A5"/>
    <w:rsid w:val="007076A4"/>
    <w:rsid w:val="007E025C"/>
    <w:rsid w:val="00836B65"/>
    <w:rsid w:val="008706DA"/>
    <w:rsid w:val="0088234B"/>
    <w:rsid w:val="00905E4D"/>
    <w:rsid w:val="0092744A"/>
    <w:rsid w:val="00A334BC"/>
    <w:rsid w:val="00A40BCE"/>
    <w:rsid w:val="00A97854"/>
    <w:rsid w:val="00B1129C"/>
    <w:rsid w:val="00B5311B"/>
    <w:rsid w:val="00BC3155"/>
    <w:rsid w:val="00C50581"/>
    <w:rsid w:val="00C63DDE"/>
    <w:rsid w:val="00D0276A"/>
    <w:rsid w:val="00D47133"/>
    <w:rsid w:val="00D84426"/>
    <w:rsid w:val="00DC457E"/>
    <w:rsid w:val="00E57BC9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6699"/>
  <w15:chartTrackingRefBased/>
  <w15:docId w15:val="{67D8B7A3-134F-4C26-935D-1D98389C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43A5"/>
    <w:pPr>
      <w:spacing w:line="252" w:lineRule="auto"/>
    </w:pPr>
    <w:rPr>
      <w:rFonts w:ascii="Calibri" w:eastAsia="Calibri" w:hAnsi="Calibri" w:cs="Calibri"/>
      <w:sz w:val="22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25C"/>
    <w:pPr>
      <w:ind w:left="720"/>
      <w:contextualSpacing/>
    </w:pPr>
  </w:style>
  <w:style w:type="paragraph" w:customStyle="1" w:styleId="a4">
    <w:name w:val="Нормальний текст"/>
    <w:basedOn w:val="a"/>
    <w:rsid w:val="00836B65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310C04"/>
    <w:pPr>
      <w:spacing w:after="0" w:line="240" w:lineRule="auto"/>
    </w:pPr>
    <w:rPr>
      <w:rFonts w:ascii="Calibri" w:eastAsia="Calibri" w:hAnsi="Calibri" w:cs="Calibri"/>
      <w:sz w:val="22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B112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DC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C457E"/>
    <w:rPr>
      <w:rFonts w:ascii="Segoe UI" w:eastAsia="Calibri" w:hAnsi="Segoe UI" w:cs="Segoe UI"/>
      <w:sz w:val="18"/>
      <w:szCs w:val="18"/>
      <w:lang w:eastAsia="uk-UA"/>
    </w:rPr>
  </w:style>
  <w:style w:type="character" w:customStyle="1" w:styleId="FontStyle41">
    <w:name w:val="Font Style41"/>
    <w:uiPriority w:val="99"/>
    <w:rsid w:val="0088234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Ролік Оксана Миколаївна</dc:creator>
  <cp:keywords/>
  <dc:description/>
  <cp:lastModifiedBy>Ролік Оксана Миколаївна</cp:lastModifiedBy>
  <cp:revision>7</cp:revision>
  <cp:lastPrinted>2022-06-16T06:53:00Z</cp:lastPrinted>
  <dcterms:created xsi:type="dcterms:W3CDTF">2022-06-17T07:17:00Z</dcterms:created>
  <dcterms:modified xsi:type="dcterms:W3CDTF">2022-06-17T10:02:00Z</dcterms:modified>
</cp:coreProperties>
</file>